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2.0" w:type="dxa"/>
        <w:jc w:val="left"/>
        <w:tblInd w:w="-284.0" w:type="dxa"/>
        <w:tblLayout w:type="fixed"/>
        <w:tblLook w:val="0000"/>
      </w:tblPr>
      <w:tblGrid>
        <w:gridCol w:w="1225"/>
        <w:gridCol w:w="7417"/>
        <w:tblGridChange w:id="0">
          <w:tblGrid>
            <w:gridCol w:w="1225"/>
            <w:gridCol w:w="7417"/>
          </w:tblGrid>
        </w:tblGridChange>
      </w:tblGrid>
      <w:tr>
        <w:trPr>
          <w:cantSplit w:val="0"/>
          <w:trHeight w:val="116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88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UNIVERSITY OF ECONOMICS AND LAW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-160018</wp:posOffset>
                  </wp:positionH>
                  <wp:positionV relativeFrom="paragraph">
                    <wp:posOffset>-29207</wp:posOffset>
                  </wp:positionV>
                  <wp:extent cx="816610" cy="816610"/>
                  <wp:effectExtent b="0" l="0" r="0" t="0"/>
                  <wp:wrapSquare wrapText="bothSides" distB="0" distT="0" distL="114300" distR="11430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8166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spacing w:after="0" w:line="288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FACULTY OF ACCOUNTING – AUDITING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88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ACCOUNTING DEPARTMENT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line="288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COURSE SPECIFICATION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-1587499</wp:posOffset>
                </wp:positionV>
                <wp:extent cx="5003800" cy="3460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53535" y="3616488"/>
                          <a:ext cx="4984931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58.0000114440918"/>
                              <w:ind w:left="0" w:right="0" w:firstLine="-2.0000000298023224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Sample 8: Module outline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58.0000114440918"/>
                              <w:ind w:left="0" w:right="0" w:firstLine="-2.0000000298023224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58.0000114440918"/>
                              <w:ind w:left="0" w:right="0" w:firstLine="-3.0000001192092896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-3.0000001192092896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-1587499</wp:posOffset>
                </wp:positionV>
                <wp:extent cx="5003800" cy="34607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0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Course Title and Code: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MAA4015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- Public Sector Accounting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Number of Credits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Total Credits: 2</w:t>
        <w:tab/>
        <w:tab/>
        <w:t xml:space="preserve">Theory: 2</w:t>
        <w:tab/>
        <w:tab/>
        <w:t xml:space="preserve">Practice: 0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Lecturer in charge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Dr. Nguyen Thi Khoa; ASS. Dr. Dang Van Cuong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Study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962"/>
        </w:tabs>
        <w:spacing w:after="0" w:line="288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Syllabus: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962"/>
        </w:tabs>
        <w:spacing w:after="0" w:line="288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[1] Ministry of Finance, 2024. Administrative and non-business accounting regime, Financial Publishing House.</w:t>
      </w:r>
    </w:p>
    <w:p w:rsidR="00000000" w:rsidDel="00000000" w:rsidP="00000000" w:rsidRDefault="00000000" w:rsidRPr="00000000" w14:paraId="0000000F">
      <w:pPr>
        <w:tabs>
          <w:tab w:val="left" w:leader="none" w:pos="4962"/>
        </w:tabs>
        <w:spacing w:after="0" w:line="288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Documents: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962"/>
        </w:tabs>
        <w:spacing w:after="0" w:line="288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[2] Tang Binh, 2024. 187 charts of administrative and non-career accounting, Hong Duc Publishing House.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[3] Lecturer's Lecture.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Course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Course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Description/Objectives</w:t>
      </w: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gridCol w:w="4905"/>
        <w:gridCol w:w="1620"/>
        <w:gridCol w:w="1395"/>
        <w:tblGridChange w:id="0">
          <w:tblGrid>
            <w:gridCol w:w="1530"/>
            <w:gridCol w:w="4905"/>
            <w:gridCol w:w="1620"/>
            <w:gridCol w:w="139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4962"/>
              </w:tabs>
              <w:spacing w:after="0" w:line="288" w:lineRule="auto"/>
              <w:ind w:right="9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Objective (COx)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851"/>
                <w:tab w:val="left" w:leader="none" w:pos="6237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Objective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851"/>
                <w:tab w:val="left" w:leader="none" w:pos="6237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Curriculum of the subject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4962"/>
              </w:tabs>
              <w:spacing w:after="0" w:line="288" w:lineRule="auto"/>
              <w:ind w:right="9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(CLOx)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851"/>
                <w:tab w:val="left" w:leader="none" w:pos="6237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Cognitive Level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851"/>
                <w:tab w:val="left" w:leader="none" w:pos="6237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851"/>
                <w:tab w:val="left" w:leader="none" w:pos="6237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851"/>
                <w:tab w:val="left" w:leader="none" w:pos="6237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851"/>
                <w:tab w:val="left" w:leader="none" w:pos="6237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4962"/>
              </w:tabs>
              <w:spacing w:after="0" w:line="288" w:lineRule="auto"/>
              <w:ind w:right="9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Systematize knowledge of public finance, State financial management system, state budget revenues and expenditures, public accounting system and public accounting standards system in order to assess conformity with international practices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4962"/>
              </w:tabs>
              <w:spacing w:after="0" w:line="288" w:lineRule="auto"/>
              <w:ind w:right="9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CLO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4962"/>
              </w:tabs>
              <w:spacing w:after="0" w:line="288" w:lineRule="auto"/>
              <w:ind w:right="9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4962"/>
              </w:tabs>
              <w:spacing w:after="0" w:line="288" w:lineRule="auto"/>
              <w:ind w:right="9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Building a system of accounting vouchers and accounting books 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 sector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units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4962"/>
              </w:tabs>
              <w:spacing w:after="0" w:line="288" w:lineRule="auto"/>
              <w:ind w:right="9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CLO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4962"/>
              </w:tabs>
              <w:spacing w:after="0" w:line="288" w:lineRule="auto"/>
              <w:ind w:right="9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4962"/>
              </w:tabs>
              <w:spacing w:after="0" w:line="288" w:lineRule="auto"/>
              <w:ind w:right="9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Perform basic accounting operations 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 sector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units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4962"/>
              </w:tabs>
              <w:spacing w:after="0" w:line="288" w:lineRule="auto"/>
              <w:ind w:right="9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CLO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4962"/>
              </w:tabs>
              <w:spacing w:after="0" w:line="288" w:lineRule="auto"/>
              <w:ind w:right="9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4962"/>
              </w:tabs>
              <w:spacing w:after="0" w:line="288" w:lineRule="auto"/>
              <w:ind w:right="9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Preparation and issuance of financial statements and state budget settlement reports 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 sector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units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4962"/>
              </w:tabs>
              <w:spacing w:after="0" w:line="288" w:lineRule="auto"/>
              <w:ind w:right="9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CLO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4962"/>
              </w:tabs>
              <w:spacing w:after="0" w:line="288" w:lineRule="auto"/>
              <w:ind w:right="9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Rule="auto"/>
        <w:ind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(1): Symbol representing the course objective.</w:t>
      </w:r>
    </w:p>
    <w:p w:rsidR="00000000" w:rsidDel="00000000" w:rsidP="00000000" w:rsidRDefault="00000000" w:rsidRPr="00000000" w14:paraId="0000002E">
      <w:pPr>
        <w:spacing w:after="240" w:before="240" w:lineRule="auto"/>
        <w:ind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(2): Description of the objectives, including active verbs, learning outcome topics, and general application context.</w:t>
      </w:r>
    </w:p>
    <w:p w:rsidR="00000000" w:rsidDel="00000000" w:rsidP="00000000" w:rsidRDefault="00000000" w:rsidRPr="00000000" w14:paraId="0000002F">
      <w:pPr>
        <w:spacing w:after="240" w:before="240" w:lineRule="auto"/>
        <w:ind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(3), (4): Symbols for the Program Learning Outcomes (PLOs) and the corresponding cognitive levels assigned to the course.</w:t>
      </w:r>
    </w:p>
    <w:p w:rsidR="00000000" w:rsidDel="00000000" w:rsidP="00000000" w:rsidRDefault="00000000" w:rsidRPr="00000000" w14:paraId="00000030">
      <w:pPr>
        <w:spacing w:after="240" w:before="240" w:lineRule="auto"/>
        <w:ind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b. Prerequisite/Preceding/Concurrent Courses:</w:t>
        <w:br w:type="textWrapping"/>
        <w:t xml:space="preserve"> Indicate the code and name of the prerequisite or concurrent course(s).</w:t>
      </w:r>
    </w:p>
    <w:p w:rsidR="00000000" w:rsidDel="00000000" w:rsidP="00000000" w:rsidRDefault="00000000" w:rsidRPr="00000000" w14:paraId="00000031">
      <w:pPr>
        <w:spacing w:after="240" w:before="240" w:lineRule="auto"/>
        <w:ind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c. Other Requirements:</w:t>
        <w:br w:type="textWrapping"/>
        <w:t xml:space="preserve"> Specify any additional requirements deemed necessary by the instructor.</w:t>
      </w:r>
    </w:p>
    <w:p w:rsidR="00000000" w:rsidDel="00000000" w:rsidP="00000000" w:rsidRDefault="00000000" w:rsidRPr="00000000" w14:paraId="00000032">
      <w:pPr>
        <w:spacing w:after="240" w:before="240" w:lineRule="auto"/>
        <w:ind w:firstLine="0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Course learning outcomes</w:t>
      </w:r>
    </w:p>
    <w:p w:rsidR="00000000" w:rsidDel="00000000" w:rsidP="00000000" w:rsidRDefault="00000000" w:rsidRPr="00000000" w14:paraId="00000033">
      <w:pPr>
        <w:spacing w:after="240" w:before="240" w:line="276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Specific items or Course Learning Outcomes (CLOs) and the level of instruction (I, T, U or I, R, M)</w:t>
      </w:r>
      <w:r w:rsidDel="00000000" w:rsidR="00000000" w:rsidRPr="00000000">
        <w:rPr>
          <w:rtl w:val="0"/>
        </w:rPr>
      </w:r>
    </w:p>
    <w:tbl>
      <w:tblPr>
        <w:tblStyle w:val="Table3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5055"/>
        <w:gridCol w:w="1305"/>
        <w:gridCol w:w="1695"/>
        <w:tblGridChange w:id="0">
          <w:tblGrid>
            <w:gridCol w:w="990"/>
            <w:gridCol w:w="5055"/>
            <w:gridCol w:w="1305"/>
            <w:gridCol w:w="1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284"/>
              </w:tabs>
              <w:spacing w:after="240" w:before="240" w:line="288" w:lineRule="auto"/>
              <w:ind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 (1)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leader="none" w:pos="284"/>
              </w:tabs>
              <w:spacing w:after="240" w:before="240" w:line="288" w:lineRule="auto"/>
              <w:ind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 Description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284"/>
              </w:tabs>
              <w:spacing w:after="240" w:before="240" w:line="288" w:lineRule="auto"/>
              <w:ind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 Learning Outcome (PLOs)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284"/>
              </w:tabs>
              <w:spacing w:after="240" w:before="240" w:line="288" w:lineRule="auto"/>
              <w:ind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Teaching Level (I, R, M) (3)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284"/>
              </w:tabs>
              <w:spacing w:after="0" w:line="288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CLO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Check the compliance and conformity of the public accounting system (mainly in the field of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 sector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accounting) with current regulations and international practices.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284"/>
              </w:tabs>
              <w:spacing w:after="0" w:line="288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PLO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284"/>
              </w:tabs>
              <w:spacing w:after="0" w:line="288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88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CLO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Building a system of accounting vouchers and accounting books 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 sector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units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284"/>
              </w:tabs>
              <w:spacing w:after="0" w:line="288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PLO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284"/>
              </w:tabs>
              <w:spacing w:after="0" w:line="288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88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CLO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Perform basic accounting operations 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 sector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units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284"/>
              </w:tabs>
              <w:spacing w:after="0" w:line="288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PLO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284"/>
              </w:tabs>
              <w:spacing w:after="0" w:line="288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88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CLO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Preparation and issuance of financial statements and state budget settlement reports 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 sector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284"/>
              </w:tabs>
              <w:spacing w:after="0" w:line="288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PLO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284"/>
              </w:tabs>
              <w:spacing w:after="0" w:line="288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</w:tr>
    </w:tbl>
    <w:p w:rsidR="00000000" w:rsidDel="00000000" w:rsidP="00000000" w:rsidRDefault="00000000" w:rsidRPr="00000000" w14:paraId="0000004C">
      <w:pPr>
        <w:spacing w:after="0" w:before="120" w:lineRule="auto"/>
        <w:ind w:firstLine="0"/>
        <w:jc w:val="both"/>
        <w:rPr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(1):</w:t>
      </w:r>
      <w:r w:rsidDel="00000000" w:rsidR="00000000" w:rsidRPr="00000000">
        <w:rPr>
          <w:i w:val="1"/>
          <w:sz w:val="26"/>
          <w:szCs w:val="26"/>
          <w:rtl w:val="0"/>
        </w:rPr>
        <w:t xml:space="preserve"> Symbol representing the Course Learning Outcome (CLO).</w:t>
      </w:r>
    </w:p>
    <w:p w:rsidR="00000000" w:rsidDel="00000000" w:rsidP="00000000" w:rsidRDefault="00000000" w:rsidRPr="00000000" w14:paraId="0000004D">
      <w:pPr>
        <w:spacing w:after="0" w:before="120" w:lineRule="auto"/>
        <w:ind w:firstLine="0"/>
        <w:jc w:val="both"/>
        <w:rPr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(2):</w:t>
      </w:r>
      <w:r w:rsidDel="00000000" w:rsidR="00000000" w:rsidRPr="00000000">
        <w:rPr>
          <w:i w:val="1"/>
          <w:sz w:val="26"/>
          <w:szCs w:val="26"/>
          <w:rtl w:val="0"/>
        </w:rPr>
        <w:t xml:space="preserve"> Description of the CLO, including active verbs, CLO-related topics, and specific application context.</w:t>
      </w:r>
    </w:p>
    <w:p w:rsidR="00000000" w:rsidDel="00000000" w:rsidP="00000000" w:rsidRDefault="00000000" w:rsidRPr="00000000" w14:paraId="0000004E">
      <w:pPr>
        <w:spacing w:after="0" w:before="120" w:lineRule="auto"/>
        <w:ind w:firstLine="0"/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(3):</w:t>
      </w:r>
    </w:p>
    <w:p w:rsidR="00000000" w:rsidDel="00000000" w:rsidP="00000000" w:rsidRDefault="00000000" w:rsidRPr="00000000" w14:paraId="0000004F">
      <w:pPr>
        <w:spacing w:after="0" w:before="120" w:lineRule="auto"/>
        <w:ind w:firstLine="0"/>
        <w:jc w:val="both"/>
        <w:rPr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I (Introduce):</w:t>
      </w:r>
      <w:r w:rsidDel="00000000" w:rsidR="00000000" w:rsidRPr="00000000">
        <w:rPr>
          <w:i w:val="1"/>
          <w:sz w:val="26"/>
          <w:szCs w:val="26"/>
          <w:rtl w:val="0"/>
        </w:rPr>
        <w:t xml:space="preserve"> initial exposure to the concept</w:t>
      </w:r>
    </w:p>
    <w:p w:rsidR="00000000" w:rsidDel="00000000" w:rsidP="00000000" w:rsidRDefault="00000000" w:rsidRPr="00000000" w14:paraId="00000050">
      <w:pPr>
        <w:spacing w:after="0" w:before="120" w:lineRule="auto"/>
        <w:ind w:firstLine="0"/>
        <w:jc w:val="both"/>
        <w:rPr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T (Teach):</w:t>
      </w:r>
      <w:r w:rsidDel="00000000" w:rsidR="00000000" w:rsidRPr="00000000">
        <w:rPr>
          <w:i w:val="1"/>
          <w:sz w:val="26"/>
          <w:szCs w:val="26"/>
          <w:rtl w:val="0"/>
        </w:rPr>
        <w:t xml:space="preserve"> instruction and practice</w:t>
      </w:r>
    </w:p>
    <w:p w:rsidR="00000000" w:rsidDel="00000000" w:rsidP="00000000" w:rsidRDefault="00000000" w:rsidRPr="00000000" w14:paraId="00000051">
      <w:pPr>
        <w:spacing w:after="0" w:before="120" w:lineRule="auto"/>
        <w:ind w:firstLine="0"/>
        <w:jc w:val="both"/>
        <w:rPr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U (Utilize):</w:t>
      </w:r>
      <w:r w:rsidDel="00000000" w:rsidR="00000000" w:rsidRPr="00000000">
        <w:rPr>
          <w:i w:val="1"/>
          <w:sz w:val="26"/>
          <w:szCs w:val="26"/>
          <w:rtl w:val="0"/>
        </w:rPr>
        <w:t xml:space="preserve"> apply in context</w:t>
      </w:r>
    </w:p>
    <w:p w:rsidR="00000000" w:rsidDel="00000000" w:rsidP="00000000" w:rsidRDefault="00000000" w:rsidRPr="00000000" w14:paraId="00000052">
      <w:pPr>
        <w:spacing w:after="0" w:before="120" w:lineRule="auto"/>
        <w:ind w:firstLine="0"/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or alternatively:</w:t>
      </w:r>
    </w:p>
    <w:p w:rsidR="00000000" w:rsidDel="00000000" w:rsidP="00000000" w:rsidRDefault="00000000" w:rsidRPr="00000000" w14:paraId="00000053">
      <w:pPr>
        <w:spacing w:after="0" w:before="120" w:lineRule="auto"/>
        <w:ind w:firstLine="0"/>
        <w:jc w:val="both"/>
        <w:rPr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I (Introduce):</w:t>
      </w:r>
      <w:r w:rsidDel="00000000" w:rsidR="00000000" w:rsidRPr="00000000">
        <w:rPr>
          <w:i w:val="1"/>
          <w:sz w:val="26"/>
          <w:szCs w:val="26"/>
          <w:rtl w:val="0"/>
        </w:rPr>
        <w:t xml:space="preserve"> initial exposure</w:t>
      </w:r>
    </w:p>
    <w:p w:rsidR="00000000" w:rsidDel="00000000" w:rsidP="00000000" w:rsidRDefault="00000000" w:rsidRPr="00000000" w14:paraId="00000054">
      <w:pPr>
        <w:spacing w:after="0" w:before="120" w:lineRule="auto"/>
        <w:ind w:firstLine="0"/>
        <w:jc w:val="both"/>
        <w:rPr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R (Reinforced):</w:t>
      </w:r>
      <w:r w:rsidDel="00000000" w:rsidR="00000000" w:rsidRPr="00000000">
        <w:rPr>
          <w:i w:val="1"/>
          <w:sz w:val="26"/>
          <w:szCs w:val="26"/>
          <w:rtl w:val="0"/>
        </w:rPr>
        <w:t xml:space="preserve"> strengthened through practice</w:t>
      </w:r>
    </w:p>
    <w:p w:rsidR="00000000" w:rsidDel="00000000" w:rsidP="00000000" w:rsidRDefault="00000000" w:rsidRPr="00000000" w14:paraId="00000055">
      <w:pPr>
        <w:spacing w:after="0" w:before="120" w:lineRule="auto"/>
        <w:ind w:firstLine="0"/>
        <w:jc w:val="both"/>
        <w:rPr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M (Mastery):</w:t>
      </w:r>
      <w:r w:rsidDel="00000000" w:rsidR="00000000" w:rsidRPr="00000000">
        <w:rPr>
          <w:i w:val="1"/>
          <w:sz w:val="26"/>
          <w:szCs w:val="26"/>
          <w:rtl w:val="0"/>
        </w:rPr>
        <w:t xml:space="preserve"> demonstrate full competency</w:t>
      </w:r>
    </w:p>
    <w:p w:rsidR="00000000" w:rsidDel="00000000" w:rsidP="00000000" w:rsidRDefault="00000000" w:rsidRPr="00000000" w14:paraId="00000056">
      <w:pPr>
        <w:spacing w:after="0" w:line="288" w:lineRule="auto"/>
        <w:ind w:hanging="2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="276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7. Core Content of the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The subject of Public Sector Accounting is taught with the following main contents: overview of public sector accounting (public finance and state financial management system, state budget revenues and expenditures, overview of the public accounting system, public accounting in administrative and non-business units ; accounting for basic operations in </w:t>
      </w:r>
      <w:r w:rsidDel="00000000" w:rsidR="00000000" w:rsidRPr="00000000">
        <w:rPr>
          <w:sz w:val="24"/>
          <w:szCs w:val="24"/>
          <w:rtl w:val="0"/>
        </w:rPr>
        <w:t xml:space="preserve">Public Sector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units; characteristics of the system of vouchers and accounting books in units; accounting reporting system (financial statements and state budget settlement reports). This subject is closely related to Advanced Financial Accounting with the role of comparison and contrast between accounting for production – business units and accounting for administrative – non-business units.</w:t>
      </w:r>
    </w:p>
    <w:p w:rsidR="00000000" w:rsidDel="00000000" w:rsidP="00000000" w:rsidRDefault="00000000" w:rsidRPr="00000000" w14:paraId="00000059">
      <w:pPr>
        <w:spacing w:after="240" w:before="240" w:lineRule="auto"/>
        <w:ind w:left="72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Assessment</w:t>
      </w:r>
    </w:p>
    <w:p w:rsidR="00000000" w:rsidDel="00000000" w:rsidP="00000000" w:rsidRDefault="00000000" w:rsidRPr="00000000" w14:paraId="0000005A">
      <w:pPr>
        <w:spacing w:after="240" w:before="240" w:line="276" w:lineRule="auto"/>
        <w:ind w:firstLine="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(Assessment components, assessment tasks, assessment criteria, assessment standards, and weighting – demonstrating alignment with the Course Learning Outcomes (CLOs))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0"/>
        <w:gridCol w:w="1125"/>
        <w:gridCol w:w="1245"/>
        <w:gridCol w:w="855"/>
        <w:gridCol w:w="1140"/>
        <w:gridCol w:w="1320"/>
        <w:gridCol w:w="960"/>
        <w:gridCol w:w="1365"/>
        <w:tblGridChange w:id="0">
          <w:tblGrid>
            <w:gridCol w:w="1380"/>
            <w:gridCol w:w="1125"/>
            <w:gridCol w:w="1245"/>
            <w:gridCol w:w="855"/>
            <w:gridCol w:w="1140"/>
            <w:gridCol w:w="1320"/>
            <w:gridCol w:w="960"/>
            <w:gridCol w:w="13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Components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 (Ax.x)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(CLOx)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Duration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Weighting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Sub-weight (%)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284"/>
              </w:tabs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="288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A1. Midterm Review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="288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="288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CLO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Give a talk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Divide into groups, 30 minutes each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line="288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="288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288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A2. End-of-term evaluation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288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88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CLO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88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 minutes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88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288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7F">
      <w:pPr>
        <w:tabs>
          <w:tab w:val="left" w:leader="none" w:pos="284"/>
        </w:tabs>
        <w:spacing w:after="0" w:line="288" w:lineRule="auto"/>
        <w:ind w:hanging="2"/>
        <w:jc w:val="both"/>
        <w:rPr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(1):</w:t>
      </w:r>
      <w:r w:rsidDel="00000000" w:rsidR="00000000" w:rsidRPr="00000000">
        <w:rPr>
          <w:i w:val="1"/>
          <w:sz w:val="26"/>
          <w:szCs w:val="26"/>
          <w:rtl w:val="0"/>
        </w:rPr>
        <w:t xml:space="preserve"> Assessment components of the course.</w:t>
      </w:r>
    </w:p>
    <w:p w:rsidR="00000000" w:rsidDel="00000000" w:rsidP="00000000" w:rsidRDefault="00000000" w:rsidRPr="00000000" w14:paraId="00000080">
      <w:pPr>
        <w:tabs>
          <w:tab w:val="left" w:leader="none" w:pos="284"/>
        </w:tabs>
        <w:spacing w:after="0" w:line="288" w:lineRule="auto"/>
        <w:ind w:hanging="2"/>
        <w:jc w:val="both"/>
        <w:rPr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(2):</w:t>
      </w:r>
      <w:r w:rsidDel="00000000" w:rsidR="00000000" w:rsidRPr="00000000">
        <w:rPr>
          <w:i w:val="1"/>
          <w:sz w:val="26"/>
          <w:szCs w:val="26"/>
          <w:rtl w:val="0"/>
        </w:rPr>
        <w:t xml:space="preserve"> Codes for the assessment tasks.</w:t>
      </w:r>
    </w:p>
    <w:p w:rsidR="00000000" w:rsidDel="00000000" w:rsidP="00000000" w:rsidRDefault="00000000" w:rsidRPr="00000000" w14:paraId="00000081">
      <w:pPr>
        <w:tabs>
          <w:tab w:val="left" w:leader="none" w:pos="284"/>
        </w:tabs>
        <w:spacing w:after="0" w:line="288" w:lineRule="auto"/>
        <w:ind w:hanging="2"/>
        <w:jc w:val="both"/>
        <w:rPr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(3):</w:t>
      </w:r>
      <w:r w:rsidDel="00000000" w:rsidR="00000000" w:rsidRPr="00000000">
        <w:rPr>
          <w:i w:val="1"/>
          <w:sz w:val="26"/>
          <w:szCs w:val="26"/>
          <w:rtl w:val="0"/>
        </w:rPr>
        <w:t xml:space="preserve"> CLOs being assessed.</w:t>
      </w:r>
    </w:p>
    <w:p w:rsidR="00000000" w:rsidDel="00000000" w:rsidP="00000000" w:rsidRDefault="00000000" w:rsidRPr="00000000" w14:paraId="00000082">
      <w:pPr>
        <w:tabs>
          <w:tab w:val="left" w:leader="none" w:pos="284"/>
        </w:tabs>
        <w:spacing w:after="0" w:line="288" w:lineRule="auto"/>
        <w:ind w:hanging="2"/>
        <w:jc w:val="both"/>
        <w:rPr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(4):</w:t>
      </w:r>
      <w:r w:rsidDel="00000000" w:rsidR="00000000" w:rsidRPr="00000000">
        <w:rPr>
          <w:i w:val="1"/>
          <w:sz w:val="26"/>
          <w:szCs w:val="26"/>
          <w:rtl w:val="0"/>
        </w:rPr>
        <w:t xml:space="preserve"> Assessment criteria such as individual/group homework, in-class individual/group assignments, projects, course papers, etc.</w:t>
      </w:r>
    </w:p>
    <w:p w:rsidR="00000000" w:rsidDel="00000000" w:rsidP="00000000" w:rsidRDefault="00000000" w:rsidRPr="00000000" w14:paraId="00000083">
      <w:pPr>
        <w:tabs>
          <w:tab w:val="left" w:leader="none" w:pos="284"/>
        </w:tabs>
        <w:spacing w:after="0" w:line="288" w:lineRule="auto"/>
        <w:ind w:hanging="2"/>
        <w:jc w:val="both"/>
        <w:rPr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(5):</w:t>
      </w:r>
      <w:r w:rsidDel="00000000" w:rsidR="00000000" w:rsidRPr="00000000">
        <w:rPr>
          <w:i w:val="1"/>
          <w:sz w:val="26"/>
          <w:szCs w:val="26"/>
          <w:rtl w:val="0"/>
        </w:rPr>
        <w:t xml:space="preserve"> Duration of the assessment in minutes (if conducted in class).</w:t>
      </w:r>
    </w:p>
    <w:p w:rsidR="00000000" w:rsidDel="00000000" w:rsidP="00000000" w:rsidRDefault="00000000" w:rsidRPr="00000000" w14:paraId="00000084">
      <w:pPr>
        <w:tabs>
          <w:tab w:val="left" w:leader="none" w:pos="284"/>
        </w:tabs>
        <w:spacing w:after="0" w:line="288" w:lineRule="auto"/>
        <w:ind w:hanging="2"/>
        <w:jc w:val="both"/>
        <w:rPr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(6):</w:t>
      </w:r>
      <w:r w:rsidDel="00000000" w:rsidR="00000000" w:rsidRPr="00000000">
        <w:rPr>
          <w:i w:val="1"/>
          <w:sz w:val="26"/>
          <w:szCs w:val="26"/>
          <w:rtl w:val="0"/>
        </w:rPr>
        <w:t xml:space="preserve"> Weight of each assessment task in the total course grade.</w:t>
      </w:r>
    </w:p>
    <w:p w:rsidR="00000000" w:rsidDel="00000000" w:rsidP="00000000" w:rsidRDefault="00000000" w:rsidRPr="00000000" w14:paraId="00000085">
      <w:pPr>
        <w:tabs>
          <w:tab w:val="left" w:leader="none" w:pos="284"/>
        </w:tabs>
        <w:spacing w:after="0" w:line="288" w:lineRule="auto"/>
        <w:ind w:hanging="2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(7):</w:t>
      </w:r>
      <w:r w:rsidDel="00000000" w:rsidR="00000000" w:rsidRPr="00000000">
        <w:rPr>
          <w:i w:val="1"/>
          <w:sz w:val="26"/>
          <w:szCs w:val="26"/>
          <w:rtl w:val="0"/>
        </w:rPr>
        <w:t xml:space="preserve"> Weight of each assessment task within the respective assessment component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Lecturer: Dr. Nguyen Thi Khoa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Head of Department: Assoc. Prof. Dr. Pham Quoc Thuan</w:t>
      </w:r>
      <w:r w:rsidDel="00000000" w:rsidR="00000000" w:rsidRPr="00000000">
        <w:rPr>
          <w:rtl w:val="0"/>
        </w:rPr>
      </w:r>
    </w:p>
    <w:sectPr>
      <w:pgSz w:h="16839" w:w="11907" w:orient="portrait"/>
      <w:pgMar w:bottom="990" w:top="990" w:left="198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270" w:hanging="360"/>
      </w:pPr>
      <w:rPr>
        <w:i w:val="1"/>
        <w:vertAlign w:val="baseline"/>
      </w:rPr>
    </w:lvl>
    <w:lvl w:ilvl="1">
      <w:start w:val="1"/>
      <w:numFmt w:val="lowerLetter"/>
      <w:lvlText w:val="%2."/>
      <w:lvlJc w:val="left"/>
      <w:pPr>
        <w:ind w:left="9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3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pPr>
      <w:ind w:left="720"/>
      <w:contextualSpacing w:val="1"/>
    </w:p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ListParagraphChar" w:customStyle="1">
    <w:name w:val="List Paragraph Char"/>
    <w:rPr>
      <w:w w:val="100"/>
      <w:position w:val="-1"/>
      <w:sz w:val="28"/>
      <w:szCs w:val="22"/>
      <w:effect w:val="none"/>
      <w:vertAlign w:val="baseline"/>
      <w:cs w:val="0"/>
      <w:em w:val="none"/>
    </w:rPr>
  </w:style>
  <w:style w:type="character" w:styleId="fontstyle01" w:customStyle="1">
    <w:name w:val="fontstyle01"/>
    <w:rPr>
      <w:rFonts w:ascii="Times New Roman" w:cs="Times New Roman" w:hAnsi="Times New Roman" w:hint="default"/>
      <w:b w:val="1"/>
      <w:bCs w:val="1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styleId="a" w:customStyle="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 w:val="1"/>
    <w:rsid w:val="005A6E2D"/>
    <w:rPr>
      <w:color w:val="66666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ImF5ol7/d8Z7giUkr7Y6bDiBrw==">CgMxLjA4AHIhMXM2OEtNdUxrV1pjQVpqZDZ1Rlc5NkxRR0N3eXpUZFQz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2025-03-20T19:41:00Z</dcterms:created>
  <dc:creator>Admin</dc:creator>
</cp:coreProperties>
</file>